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7E" w:rsidRDefault="009F6C7C" w:rsidP="009F6C7C">
      <w:pPr>
        <w:jc w:val="center"/>
      </w:pPr>
      <w:r w:rsidRPr="009F6C7C">
        <w:rPr>
          <w:noProof/>
        </w:rPr>
        <w:drawing>
          <wp:inline distT="0" distB="0" distL="0" distR="0">
            <wp:extent cx="6980465" cy="3243943"/>
            <wp:effectExtent l="19050" t="0" r="1088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31BDA" w:rsidRDefault="00E31BDA" w:rsidP="00A16DE4">
      <w:pPr>
        <w:bidi/>
        <w:jc w:val="center"/>
        <w:rPr>
          <w:rFonts w:asciiTheme="majorBidi" w:hAnsiTheme="majorBidi" w:cstheme="majorBidi"/>
          <w:lang w:bidi="fa-IR"/>
        </w:rPr>
      </w:pPr>
      <w:r w:rsidRPr="001D1272">
        <w:rPr>
          <w:rFonts w:asciiTheme="majorBidi" w:hAnsiTheme="majorBidi" w:cstheme="majorBidi"/>
          <w:sz w:val="28"/>
          <w:szCs w:val="28"/>
          <w:rtl/>
          <w:lang w:bidi="fa-IR"/>
        </w:rPr>
        <w:t>ازدواج کودکان گوشه ای از نقض حقوق کودکان است که منجر به اسیب های روانی وعصبی کودکان میشود و طلاق کودک همسری را به بار میاورد .توجه به کودکان و حمایت قانونی از حقوق انان باید به امری حیاتی در ایران بدل شود تا کودکان شاد با سلامت روحی و روانی؛ اینده سازان جامعه ایران باشند.</w:t>
      </w:r>
    </w:p>
    <w:p w:rsidR="00A16DE4" w:rsidRPr="00A16DE4" w:rsidRDefault="00A16DE4" w:rsidP="00A16DE4">
      <w:pPr>
        <w:bidi/>
        <w:spacing w:after="0"/>
        <w:jc w:val="center"/>
        <w:rPr>
          <w:rFonts w:asciiTheme="majorBidi" w:hAnsiTheme="majorBidi" w:cstheme="majorBidi"/>
          <w:lang w:bidi="fa-IR"/>
        </w:rPr>
      </w:pPr>
    </w:p>
    <w:p w:rsidR="00E31BDA" w:rsidRPr="001D1272" w:rsidRDefault="00E31BDA" w:rsidP="00E31BDA">
      <w:pPr>
        <w:bidi/>
        <w:jc w:val="center"/>
        <w:rPr>
          <w:rFonts w:asciiTheme="majorBidi" w:hAnsiTheme="majorBidi" w:cstheme="majorBidi"/>
          <w:lang w:bidi="fa-IR"/>
        </w:rPr>
      </w:pPr>
      <w:r w:rsidRPr="001D1272">
        <w:rPr>
          <w:rFonts w:asciiTheme="majorBidi" w:eastAsia="Calibri" w:hAnsiTheme="majorBidi" w:cstheme="majorBidi"/>
          <w:b/>
          <w:bCs/>
          <w:i/>
          <w:iCs/>
          <w:color w:val="244061" w:themeColor="accent1" w:themeShade="80"/>
          <w:sz w:val="28"/>
          <w:szCs w:val="28"/>
          <w:rtl/>
        </w:rPr>
        <w:t>تنطیم نمودار لیدا اشجعی</w:t>
      </w:r>
      <w:r w:rsidRPr="001D1272">
        <w:rPr>
          <w:rFonts w:asciiTheme="majorBidi" w:eastAsia="Calibri" w:hAnsiTheme="majorBidi" w:cstheme="majorBidi"/>
          <w:b/>
          <w:bCs/>
          <w:i/>
          <w:iCs/>
          <w:color w:val="244061" w:themeColor="accent1" w:themeShade="80"/>
          <w:sz w:val="28"/>
          <w:szCs w:val="28"/>
        </w:rPr>
        <w:t xml:space="preserve"> Lida Ashjaei  </w:t>
      </w:r>
    </w:p>
    <w:p w:rsidR="00E31BDA" w:rsidRPr="001D1272" w:rsidRDefault="00E31BDA" w:rsidP="00E31BDA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1D1272">
        <w:rPr>
          <w:rFonts w:asciiTheme="majorBidi" w:hAnsiTheme="majorBidi" w:cstheme="majorBidi"/>
          <w:sz w:val="28"/>
          <w:szCs w:val="28"/>
          <w:rtl/>
          <w:lang w:bidi="fa-IR"/>
        </w:rPr>
        <w:t>گزارش خبری نموداری نقض حقوق کودک و نوجوان در اسفند ماه ۹۷</w:t>
      </w:r>
    </w:p>
    <w:p w:rsidR="009F6C7C" w:rsidRDefault="00E31BDA" w:rsidP="00E31BDA">
      <w:pPr>
        <w:jc w:val="center"/>
        <w:rPr>
          <w:rFonts w:asciiTheme="majorBidi" w:hAnsiTheme="majorBidi" w:cstheme="majorBidi"/>
          <w:b/>
          <w:bCs/>
          <w:color w:val="1F497D" w:themeColor="text2"/>
          <w:sz w:val="28"/>
          <w:szCs w:val="28"/>
          <w:lang w:bidi="fa-IR"/>
        </w:rPr>
      </w:pPr>
      <w:r w:rsidRPr="001D1272">
        <w:rPr>
          <w:rFonts w:asciiTheme="majorBidi" w:hAnsiTheme="majorBidi" w:cstheme="majorBidi"/>
          <w:b/>
          <w:bCs/>
          <w:color w:val="1F497D" w:themeColor="text2"/>
          <w:sz w:val="28"/>
          <w:szCs w:val="28"/>
          <w:rtl/>
          <w:lang w:bidi="fa-IR"/>
        </w:rPr>
        <w:t>تهیه گزارش : نارگل غفوری</w:t>
      </w:r>
    </w:p>
    <w:tbl>
      <w:tblPr>
        <w:tblStyle w:val="TableGrid"/>
        <w:tblW w:w="0" w:type="auto"/>
        <w:jc w:val="center"/>
        <w:tblInd w:w="1670" w:type="dxa"/>
        <w:tblLook w:val="04A0"/>
      </w:tblPr>
      <w:tblGrid>
        <w:gridCol w:w="1080"/>
        <w:gridCol w:w="4590"/>
        <w:gridCol w:w="1086"/>
      </w:tblGrid>
      <w:tr w:rsidR="00E31BDA" w:rsidRPr="00E13F9C" w:rsidTr="000A7200">
        <w:trPr>
          <w:jc w:val="center"/>
        </w:trPr>
        <w:tc>
          <w:tcPr>
            <w:tcW w:w="1080" w:type="dxa"/>
            <w:vAlign w:val="center"/>
          </w:tcPr>
          <w:p w:rsidR="00E31BDA" w:rsidRPr="00E13F9C" w:rsidRDefault="00E31BDA" w:rsidP="000A7200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E13F9C">
              <w:rPr>
                <w:rFonts w:ascii="Times New Roman" w:eastAsia="Calibri" w:hAnsi="Times New Roman" w:cs="Times New Roman" w:hint="cs"/>
                <w:b/>
                <w:bCs/>
                <w:color w:val="1F497D"/>
                <w:sz w:val="32"/>
                <w:szCs w:val="32"/>
                <w:rtl/>
              </w:rPr>
              <w:t>مورد</w:t>
            </w:r>
          </w:p>
        </w:tc>
        <w:tc>
          <w:tcPr>
            <w:tcW w:w="4590" w:type="dxa"/>
            <w:vAlign w:val="center"/>
          </w:tcPr>
          <w:p w:rsidR="00E31BDA" w:rsidRPr="00E13F9C" w:rsidRDefault="00E31BDA" w:rsidP="000A7200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E13F9C">
              <w:rPr>
                <w:rFonts w:ascii="Times New Roman" w:eastAsia="Calibri" w:hAnsi="Times New Roman" w:cs="Times New Roman"/>
                <w:b/>
                <w:bCs/>
                <w:color w:val="1F497D"/>
                <w:sz w:val="32"/>
                <w:szCs w:val="32"/>
                <w:rtl/>
              </w:rPr>
              <w:t>موضوع</w:t>
            </w:r>
          </w:p>
        </w:tc>
        <w:tc>
          <w:tcPr>
            <w:tcW w:w="1086" w:type="dxa"/>
            <w:vAlign w:val="center"/>
          </w:tcPr>
          <w:p w:rsidR="00E31BDA" w:rsidRPr="00E13F9C" w:rsidRDefault="00E31BDA" w:rsidP="000A7200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E13F9C">
              <w:rPr>
                <w:rFonts w:ascii="Times New Roman" w:eastAsia="Calibri" w:hAnsi="Times New Roman" w:cs="Times New Roman"/>
                <w:b/>
                <w:bCs/>
                <w:color w:val="1F497D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ازدواج کودکان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اعتیاد کودکان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اعدام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اموزش و پرورش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بیماری های کودکان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حمایت از کودکان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خشونت علیه کودکان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کودک ازاری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کودکان بی هویت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کودکان در زلزله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کودکان فقر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کودکان کار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E31BDA" w:rsidRPr="00A75DDD" w:rsidTr="00A267E9">
        <w:trPr>
          <w:jc w:val="center"/>
        </w:trPr>
        <w:tc>
          <w:tcPr>
            <w:tcW w:w="1080" w:type="dxa"/>
            <w:vAlign w:val="bottom"/>
          </w:tcPr>
          <w:p w:rsidR="00E31BDA" w:rsidRDefault="00E31BDA" w:rsidP="00E31B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590" w:type="dxa"/>
            <w:vAlign w:val="bottom"/>
          </w:tcPr>
          <w:p w:rsidR="00E31BDA" w:rsidRDefault="00E31BDA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fa-IR"/>
              </w:rPr>
              <w:t>اسیب های اجتماعی</w:t>
            </w:r>
          </w:p>
        </w:tc>
        <w:tc>
          <w:tcPr>
            <w:tcW w:w="1086" w:type="dxa"/>
            <w:vAlign w:val="center"/>
          </w:tcPr>
          <w:p w:rsidR="00E31BDA" w:rsidRPr="00A75DDD" w:rsidRDefault="00E31BDA" w:rsidP="000A720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</w:tbl>
    <w:p w:rsidR="00CA490A" w:rsidRDefault="001A623B" w:rsidP="001A623B">
      <w:pPr>
        <w:jc w:val="center"/>
      </w:pPr>
      <w:r w:rsidRPr="001A623B">
        <w:rPr>
          <w:rFonts w:cs="Arial" w:hint="cs"/>
          <w:rtl/>
        </w:rPr>
        <w:t>آمار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فوق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از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گزارشات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رسانه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های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داخلی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خارجی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مورد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تائید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دولت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جمهوری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اسلامی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ایران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جمع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آوری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شده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عملا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نمیتواند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بیش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از</w:t>
      </w:r>
      <w:r w:rsidRPr="001A623B">
        <w:rPr>
          <w:rFonts w:cs="Arial"/>
          <w:rtl/>
        </w:rPr>
        <w:t xml:space="preserve"> </w:t>
      </w:r>
      <w:r w:rsidRPr="001A623B">
        <w:rPr>
          <w:rFonts w:cs="Arial"/>
          <w:rtl/>
          <w:lang w:bidi="fa-IR"/>
        </w:rPr>
        <w:t>۳۰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در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صد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واقعیت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های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جامعه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باشد</w:t>
      </w:r>
      <w:r w:rsidRPr="001A623B">
        <w:rPr>
          <w:rFonts w:cs="Arial"/>
          <w:rtl/>
        </w:rPr>
        <w:t>.</w:t>
      </w:r>
      <w:r w:rsidRPr="001A623B">
        <w:rPr>
          <w:rFonts w:cs="Arial" w:hint="cs"/>
          <w:rtl/>
        </w:rPr>
        <w:t>این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گزارشات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از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سایت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کمیته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دفاع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از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حقوق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کود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ک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نوجوان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که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از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رسانه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های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داخلی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خارجی</w:t>
      </w:r>
      <w:r w:rsidRPr="001A623B">
        <w:rPr>
          <w:rFonts w:cs="Arial"/>
          <w:rtl/>
        </w:rPr>
        <w:t xml:space="preserve">  </w:t>
      </w:r>
      <w:r w:rsidRPr="001A623B">
        <w:rPr>
          <w:rFonts w:cs="Arial" w:hint="cs"/>
          <w:rtl/>
        </w:rPr>
        <w:t>مانند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ایسنا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مشرق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نیوز؛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رکنا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رادیو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زمانه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؛هرانا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ایرنا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؛ایلنا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؛رادیو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صدای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امریکا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؛رادیو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سی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ایران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قطره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؛رادیو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فردا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سازمان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حقوق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بشر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ایران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باشگاه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خبرنگاران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جوان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خبرگزاری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مهر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خبر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گزاری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خراسان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روزنامه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قانون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؛تسنیم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کمپین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فعالان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بلوچ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؛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جمع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آوری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گردیده</w:t>
      </w:r>
      <w:r w:rsidRPr="001A623B">
        <w:rPr>
          <w:rFonts w:cs="Arial"/>
          <w:rtl/>
        </w:rPr>
        <w:t xml:space="preserve"> </w:t>
      </w:r>
      <w:r w:rsidRPr="001A623B">
        <w:rPr>
          <w:rFonts w:cs="Arial" w:hint="cs"/>
          <w:rtl/>
        </w:rPr>
        <w:t>است</w:t>
      </w:r>
      <w:r w:rsidRPr="001A623B">
        <w:t xml:space="preserve"> .</w:t>
      </w:r>
    </w:p>
    <w:sectPr w:rsidR="00CA490A" w:rsidSect="00951288">
      <w:pgSz w:w="12240" w:h="15840"/>
      <w:pgMar w:top="540" w:right="540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savePreviewPicture/>
  <w:compat/>
  <w:rsids>
    <w:rsidRoot w:val="009F6C7C"/>
    <w:rsid w:val="0007325A"/>
    <w:rsid w:val="000916AD"/>
    <w:rsid w:val="0014575C"/>
    <w:rsid w:val="001835F0"/>
    <w:rsid w:val="001A623B"/>
    <w:rsid w:val="001D466A"/>
    <w:rsid w:val="001F5224"/>
    <w:rsid w:val="00265507"/>
    <w:rsid w:val="00320A05"/>
    <w:rsid w:val="00457849"/>
    <w:rsid w:val="00480E68"/>
    <w:rsid w:val="004D4EAE"/>
    <w:rsid w:val="00802E52"/>
    <w:rsid w:val="0087093A"/>
    <w:rsid w:val="00941FB7"/>
    <w:rsid w:val="00951288"/>
    <w:rsid w:val="009D4D24"/>
    <w:rsid w:val="009F6C7C"/>
    <w:rsid w:val="00A16DE4"/>
    <w:rsid w:val="00A66110"/>
    <w:rsid w:val="00A96A32"/>
    <w:rsid w:val="00B366C4"/>
    <w:rsid w:val="00CA490A"/>
    <w:rsid w:val="00E31BDA"/>
    <w:rsid w:val="00E363C1"/>
    <w:rsid w:val="00E539B8"/>
    <w:rsid w:val="00E97138"/>
    <w:rsid w:val="00F90A40"/>
    <w:rsid w:val="00F94B9E"/>
    <w:rsid w:val="00FA13FD"/>
    <w:rsid w:val="00FD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fa-IR" sz="1800" b="1" i="0" u="none" strike="noStrike" baseline="0"/>
              <a:t>گزارش خبری نموداری نقض حقوق کودک و نوجوان در اسفند ماه ۹۷</a:t>
            </a:r>
            <a:endParaRPr lang="en-US"/>
          </a:p>
        </c:rich>
      </c:tx>
      <c:layout/>
    </c:title>
    <c:view3D>
      <c:rotX val="20"/>
      <c:rotY val="40"/>
      <c:rAngAx val="1"/>
    </c:view3D>
    <c:floor>
      <c:spPr>
        <a:gradFill>
          <a:gsLst>
            <a:gs pos="0">
              <a:srgbClr val="4F81BD">
                <a:tint val="66000"/>
                <a:satMod val="160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floor>
    <c:plotArea>
      <c:layout/>
      <c:bar3DChart>
        <c:barDir val="col"/>
        <c:grouping val="clustered"/>
        <c:ser>
          <c:idx val="0"/>
          <c:order val="0"/>
          <c:dLbls>
            <c:spPr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  <a:ln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b="1" i="0" baseline="0"/>
                </a:pPr>
                <a:endParaRPr lang="en-US"/>
              </a:p>
            </c:txPr>
            <c:showVal val="1"/>
          </c:dLbls>
          <c:cat>
            <c:strRef>
              <c:f>Sheet1!$F$6:$F$18</c:f>
              <c:strCache>
                <c:ptCount val="13"/>
                <c:pt idx="0">
                  <c:v>ازدواج کودکان</c:v>
                </c:pt>
                <c:pt idx="1">
                  <c:v>اعتیاد کودکان</c:v>
                </c:pt>
                <c:pt idx="2">
                  <c:v>اعدام</c:v>
                </c:pt>
                <c:pt idx="3">
                  <c:v>اموزش و پرورش</c:v>
                </c:pt>
                <c:pt idx="4">
                  <c:v>بیماری های کودکان</c:v>
                </c:pt>
                <c:pt idx="5">
                  <c:v>حمایت از کودکان</c:v>
                </c:pt>
                <c:pt idx="6">
                  <c:v>خشونت علیه کودکان</c:v>
                </c:pt>
                <c:pt idx="7">
                  <c:v>کودک ازاری</c:v>
                </c:pt>
                <c:pt idx="8">
                  <c:v>کودکان بی هویت</c:v>
                </c:pt>
                <c:pt idx="9">
                  <c:v>کودکان در زلزله</c:v>
                </c:pt>
                <c:pt idx="10">
                  <c:v>کودکان فقر</c:v>
                </c:pt>
                <c:pt idx="11">
                  <c:v>کودکان کار</c:v>
                </c:pt>
                <c:pt idx="12">
                  <c:v>اسیب های اجتماعی</c:v>
                </c:pt>
              </c:strCache>
            </c:strRef>
          </c:cat>
          <c:val>
            <c:numRef>
              <c:f>Sheet1!$G$6:$G$18</c:f>
              <c:numCache>
                <c:formatCode>General</c:formatCode>
                <c:ptCount val="13"/>
                <c:pt idx="0">
                  <c:v>7</c:v>
                </c:pt>
                <c:pt idx="1">
                  <c:v>5</c:v>
                </c:pt>
                <c:pt idx="2">
                  <c:v>1</c:v>
                </c:pt>
                <c:pt idx="3">
                  <c:v>7</c:v>
                </c:pt>
                <c:pt idx="4">
                  <c:v>3</c:v>
                </c:pt>
                <c:pt idx="5">
                  <c:v>3</c:v>
                </c:pt>
                <c:pt idx="6">
                  <c:v>6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2</c:v>
                </c:pt>
              </c:numCache>
            </c:numRef>
          </c:val>
        </c:ser>
        <c:shape val="box"/>
        <c:axId val="140816768"/>
        <c:axId val="141626752"/>
        <c:axId val="0"/>
      </c:bar3DChart>
      <c:catAx>
        <c:axId val="1408167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41626752"/>
        <c:crosses val="autoZero"/>
        <c:auto val="1"/>
        <c:lblAlgn val="ctr"/>
        <c:lblOffset val="100"/>
      </c:catAx>
      <c:valAx>
        <c:axId val="1416267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b="1" i="0" baseline="0"/>
            </a:pPr>
            <a:endParaRPr lang="en-US"/>
          </a:p>
        </c:txPr>
        <c:crossAx val="140816768"/>
        <c:crosses val="autoZero"/>
        <c:crossBetween val="between"/>
      </c:valAx>
    </c:plotArea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2019-03-23T18:43:00Z</dcterms:created>
  <dcterms:modified xsi:type="dcterms:W3CDTF">2019-03-24T03:37:00Z</dcterms:modified>
</cp:coreProperties>
</file>