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8F6" w:rsidRPr="00042EEF" w:rsidRDefault="00E178F6" w:rsidP="00E178F6">
      <w:pPr>
        <w:bidi/>
        <w:jc w:val="center"/>
        <w:rPr>
          <w:rFonts w:asciiTheme="majorBidi" w:hAnsiTheme="majorBidi" w:cstheme="majorBidi"/>
          <w:b/>
          <w:bCs/>
          <w:color w:val="7030A0"/>
          <w:sz w:val="24"/>
          <w:szCs w:val="24"/>
          <w:lang w:bidi="fa-IR"/>
        </w:rPr>
      </w:pPr>
      <w:r w:rsidRPr="00905437">
        <w:rPr>
          <w:rFonts w:asciiTheme="majorBidi" w:hAnsiTheme="majorBidi" w:cs="Times New Roman"/>
          <w:b/>
          <w:bCs/>
          <w:color w:val="7030A0"/>
          <w:sz w:val="24"/>
          <w:szCs w:val="24"/>
          <w:rtl/>
          <w:lang w:bidi="fa-IR"/>
        </w:rPr>
        <w:drawing>
          <wp:inline distT="0" distB="0" distL="0" distR="0">
            <wp:extent cx="7086600" cy="2774950"/>
            <wp:effectExtent l="19050" t="0" r="19050" b="63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E178F6" w:rsidRDefault="00E178F6" w:rsidP="00E178F6">
      <w:pPr>
        <w:bidi/>
        <w:jc w:val="center"/>
        <w:rPr>
          <w:b/>
          <w:bCs/>
          <w:sz w:val="28"/>
          <w:szCs w:val="28"/>
          <w:rtl/>
        </w:rPr>
      </w:pPr>
      <w:r>
        <w:rPr>
          <w:rFonts w:hint="cs"/>
          <w:b/>
          <w:bCs/>
          <w:sz w:val="28"/>
          <w:szCs w:val="28"/>
          <w:rtl/>
        </w:rPr>
        <w:t>ایا مادران ایرانی با پوشیدن کفش های اهنیین برای کسب تابعیت فرزندانشان موفق خواهند شد ؟؟</w:t>
      </w:r>
    </w:p>
    <w:p w:rsidR="00972EEF" w:rsidRPr="00864F73" w:rsidRDefault="00E178F6" w:rsidP="00864F73">
      <w:pPr>
        <w:bidi/>
        <w:jc w:val="center"/>
        <w:rPr>
          <w:rFonts w:ascii="Arial" w:hAnsi="Arial" w:cs="Arial"/>
          <w:color w:val="000000"/>
        </w:rPr>
      </w:pPr>
      <w:r w:rsidRPr="003069F7">
        <w:rPr>
          <w:rFonts w:ascii="Arial" w:hAnsi="Arial" w:cs="Arial"/>
          <w:color w:val="000000"/>
          <w:rtl/>
        </w:rPr>
        <w:t>شهناز سجادی در گفت‌وگو با ایسنا</w:t>
      </w:r>
      <w:r>
        <w:rPr>
          <w:rFonts w:ascii="Arial" w:hAnsi="Arial" w:cs="Arial" w:hint="cs"/>
          <w:color w:val="000000"/>
          <w:rtl/>
        </w:rPr>
        <w:t xml:space="preserve"> ؛</w:t>
      </w:r>
      <w:r w:rsidRPr="003069F7">
        <w:rPr>
          <w:rFonts w:ascii="Arial" w:hAnsi="Arial" w:cs="Arial" w:hint="cs"/>
          <w:color w:val="000000"/>
          <w:rtl/>
        </w:rPr>
        <w:t xml:space="preserve"> </w:t>
      </w:r>
      <w:r w:rsidRPr="003069F7">
        <w:rPr>
          <w:rFonts w:ascii="Arial" w:hAnsi="Arial" w:cs="Arial"/>
          <w:color w:val="000000"/>
          <w:rtl/>
        </w:rPr>
        <w:t>دستیار حقوق شهروندی معاونت زنان و خانواده ریاست جمهوری ضمن اظهار خرسندی از تصویب مصوبه مجلس مبنی بر «اعطای تابعیت به فرزندان حاصل از ازدواج زنان ایرانی با مردان خارجی»، ایرادات اجرایی به این مصوبه وارد کرد و گفت: مصوبه مذکور در اجرا ضعف خود را نشان خواهد داد، چراکه نیاز به زیرساخت‌های اداری و رویه‌های قضایی دارد و به نظر می‌رسد در اجرا مادران ایرانی با پوشیدن کفش آهنی و داشتن عصای آهنی بتوانند تابعیت فرزندشان را به دست آورند</w:t>
      </w:r>
      <w:r>
        <w:rPr>
          <w:rFonts w:ascii="Arial" w:hAnsi="Arial" w:cs="Arial"/>
          <w:color w:val="000000"/>
        </w:rPr>
        <w:t>.</w:t>
      </w:r>
    </w:p>
    <w:p w:rsidR="00972EEF" w:rsidRPr="00864F73" w:rsidRDefault="00972EEF" w:rsidP="00864F73">
      <w:pPr>
        <w:tabs>
          <w:tab w:val="left" w:pos="3015"/>
          <w:tab w:val="center" w:pos="4680"/>
        </w:tabs>
        <w:bidi/>
        <w:spacing w:after="0"/>
        <w:jc w:val="center"/>
        <w:rPr>
          <w:rFonts w:asciiTheme="majorBidi" w:eastAsia="Calibri" w:hAnsiTheme="majorBidi" w:cstheme="majorBidi"/>
          <w:i/>
          <w:iCs/>
          <w:color w:val="244061" w:themeColor="accent1" w:themeShade="80"/>
          <w:sz w:val="32"/>
          <w:szCs w:val="32"/>
        </w:rPr>
      </w:pPr>
      <w:r w:rsidRPr="008B1F00">
        <w:rPr>
          <w:rFonts w:asciiTheme="majorBidi" w:eastAsia="Calibri" w:hAnsiTheme="majorBidi" w:cstheme="majorBidi"/>
          <w:i/>
          <w:iCs/>
          <w:color w:val="244061" w:themeColor="accent1" w:themeShade="80"/>
          <w:sz w:val="32"/>
          <w:szCs w:val="32"/>
          <w:rtl/>
        </w:rPr>
        <w:t>تنطیم نمودار</w:t>
      </w:r>
      <w:r w:rsidRPr="008B1F00">
        <w:rPr>
          <w:rFonts w:asciiTheme="majorBidi" w:eastAsia="Calibri" w:hAnsiTheme="majorBidi" w:cstheme="majorBidi"/>
          <w:i/>
          <w:iCs/>
          <w:color w:val="244061" w:themeColor="accent1" w:themeShade="80"/>
          <w:sz w:val="32"/>
          <w:szCs w:val="32"/>
        </w:rPr>
        <w:t>:</w:t>
      </w:r>
      <w:r w:rsidRPr="008B1F00">
        <w:rPr>
          <w:rFonts w:asciiTheme="majorBidi" w:eastAsia="Calibri" w:hAnsiTheme="majorBidi" w:cstheme="majorBidi"/>
          <w:i/>
          <w:iCs/>
          <w:color w:val="244061" w:themeColor="accent1" w:themeShade="80"/>
          <w:sz w:val="32"/>
          <w:szCs w:val="32"/>
          <w:rtl/>
        </w:rPr>
        <w:t xml:space="preserve"> لیدا اشجعی</w:t>
      </w:r>
      <w:r w:rsidRPr="008B1F00">
        <w:rPr>
          <w:rFonts w:asciiTheme="majorBidi" w:eastAsia="Calibri" w:hAnsiTheme="majorBidi" w:cstheme="majorBidi"/>
          <w:i/>
          <w:iCs/>
          <w:color w:val="244061" w:themeColor="accent1" w:themeShade="80"/>
          <w:sz w:val="32"/>
          <w:szCs w:val="32"/>
        </w:rPr>
        <w:t xml:space="preserve">Lida Ashjaei  </w:t>
      </w:r>
    </w:p>
    <w:p w:rsidR="00E178F6" w:rsidRDefault="00972EEF" w:rsidP="00972EEF">
      <w:pPr>
        <w:bidi/>
        <w:jc w:val="center"/>
        <w:rPr>
          <w:b/>
          <w:bCs/>
          <w:sz w:val="32"/>
          <w:szCs w:val="32"/>
          <w:lang w:bidi="fa-IR"/>
        </w:rPr>
      </w:pPr>
      <w:r w:rsidRPr="002249C7">
        <w:rPr>
          <w:b/>
          <w:bCs/>
          <w:sz w:val="32"/>
          <w:szCs w:val="32"/>
          <w:rtl/>
        </w:rPr>
        <w:t xml:space="preserve">گزارش نقض حقوق کودک و نوجوان در اردیبهشت </w:t>
      </w:r>
      <w:r w:rsidRPr="002249C7">
        <w:rPr>
          <w:b/>
          <w:bCs/>
          <w:sz w:val="32"/>
          <w:szCs w:val="32"/>
          <w:rtl/>
          <w:lang w:bidi="fa-IR"/>
        </w:rPr>
        <w:t>۹۸</w:t>
      </w:r>
    </w:p>
    <w:tbl>
      <w:tblPr>
        <w:tblStyle w:val="TableGrid"/>
        <w:bidiVisual/>
        <w:tblW w:w="0" w:type="auto"/>
        <w:jc w:val="center"/>
        <w:tblInd w:w="3213" w:type="dxa"/>
        <w:tblLook w:val="04A0"/>
      </w:tblPr>
      <w:tblGrid>
        <w:gridCol w:w="1350"/>
        <w:gridCol w:w="3600"/>
        <w:gridCol w:w="1485"/>
      </w:tblGrid>
      <w:tr w:rsidR="00972EEF" w:rsidTr="00DB27E7">
        <w:trPr>
          <w:jc w:val="center"/>
        </w:trPr>
        <w:tc>
          <w:tcPr>
            <w:tcW w:w="1350" w:type="dxa"/>
            <w:vAlign w:val="center"/>
          </w:tcPr>
          <w:p w:rsidR="00972EEF" w:rsidRPr="00024C5A" w:rsidRDefault="00972EEF" w:rsidP="00024C5A">
            <w:pPr>
              <w:bidi/>
              <w:jc w:val="center"/>
              <w:rPr>
                <w:rFonts w:asciiTheme="majorBidi" w:eastAsia="Calibri" w:hAnsiTheme="majorBidi" w:cstheme="majorBidi"/>
                <w:b/>
                <w:bCs/>
                <w:sz w:val="32"/>
                <w:szCs w:val="32"/>
              </w:rPr>
            </w:pPr>
            <w:r w:rsidRPr="00024C5A">
              <w:rPr>
                <w:rFonts w:asciiTheme="majorBidi" w:eastAsia="Calibri" w:hAnsiTheme="majorBidi" w:cstheme="majorBidi"/>
                <w:b/>
                <w:bCs/>
                <w:color w:val="1F497D"/>
                <w:sz w:val="32"/>
                <w:szCs w:val="32"/>
                <w:rtl/>
              </w:rPr>
              <w:t>مورد</w:t>
            </w:r>
          </w:p>
        </w:tc>
        <w:tc>
          <w:tcPr>
            <w:tcW w:w="3600" w:type="dxa"/>
            <w:vAlign w:val="center"/>
          </w:tcPr>
          <w:p w:rsidR="00972EEF" w:rsidRPr="00024C5A" w:rsidRDefault="00972EEF" w:rsidP="00024C5A">
            <w:pPr>
              <w:bidi/>
              <w:jc w:val="center"/>
              <w:rPr>
                <w:rFonts w:asciiTheme="majorBidi" w:eastAsia="Calibri" w:hAnsiTheme="majorBidi" w:cstheme="majorBidi"/>
                <w:b/>
                <w:bCs/>
                <w:sz w:val="32"/>
                <w:szCs w:val="32"/>
              </w:rPr>
            </w:pPr>
            <w:r w:rsidRPr="00024C5A">
              <w:rPr>
                <w:rFonts w:asciiTheme="majorBidi" w:eastAsia="Calibri" w:hAnsiTheme="majorBidi" w:cstheme="majorBidi"/>
                <w:b/>
                <w:bCs/>
                <w:color w:val="1F497D"/>
                <w:sz w:val="32"/>
                <w:szCs w:val="32"/>
                <w:rtl/>
              </w:rPr>
              <w:t>موضوع</w:t>
            </w:r>
          </w:p>
        </w:tc>
        <w:tc>
          <w:tcPr>
            <w:tcW w:w="1485" w:type="dxa"/>
            <w:vAlign w:val="center"/>
          </w:tcPr>
          <w:p w:rsidR="00972EEF" w:rsidRPr="00024C5A" w:rsidRDefault="00972EEF" w:rsidP="00024C5A">
            <w:pPr>
              <w:bidi/>
              <w:jc w:val="center"/>
              <w:rPr>
                <w:rFonts w:asciiTheme="majorBidi" w:eastAsia="Calibri" w:hAnsiTheme="majorBidi" w:cstheme="majorBidi"/>
                <w:b/>
                <w:bCs/>
                <w:sz w:val="32"/>
                <w:szCs w:val="32"/>
              </w:rPr>
            </w:pPr>
            <w:r w:rsidRPr="00024C5A">
              <w:rPr>
                <w:rFonts w:asciiTheme="majorBidi" w:eastAsia="Calibri" w:hAnsiTheme="majorBidi" w:cstheme="majorBidi"/>
                <w:b/>
                <w:bCs/>
                <w:color w:val="1F497D"/>
                <w:sz w:val="32"/>
                <w:szCs w:val="32"/>
                <w:rtl/>
                <w:lang w:bidi="fa-IR"/>
              </w:rPr>
              <w:t>ردیف</w:t>
            </w:r>
          </w:p>
        </w:tc>
      </w:tr>
      <w:tr w:rsidR="00024C5A" w:rsidTr="00DB27E7">
        <w:trPr>
          <w:jc w:val="center"/>
        </w:trPr>
        <w:tc>
          <w:tcPr>
            <w:tcW w:w="1350" w:type="dxa"/>
          </w:tcPr>
          <w:p w:rsidR="00024C5A" w:rsidRPr="00024C5A" w:rsidRDefault="00024C5A" w:rsidP="00024C5A">
            <w:pPr>
              <w:bidi/>
              <w:jc w:val="center"/>
              <w:rPr>
                <w:rFonts w:asciiTheme="majorBidi" w:hAnsiTheme="majorBidi" w:cstheme="majorBidi"/>
                <w:rtl/>
              </w:rPr>
            </w:pPr>
            <w:r w:rsidRPr="00024C5A">
              <w:rPr>
                <w:rFonts w:asciiTheme="majorBidi" w:hAnsiTheme="majorBidi" w:cstheme="majorBidi"/>
              </w:rPr>
              <w:t>1</w:t>
            </w:r>
          </w:p>
        </w:tc>
        <w:tc>
          <w:tcPr>
            <w:tcW w:w="3600" w:type="dxa"/>
            <w:vAlign w:val="bottom"/>
          </w:tcPr>
          <w:p w:rsidR="00024C5A" w:rsidRPr="00024C5A" w:rsidRDefault="00024C5A" w:rsidP="00024C5A">
            <w:pPr>
              <w:bidi/>
              <w:rPr>
                <w:rFonts w:asciiTheme="majorBidi" w:hAnsiTheme="majorBidi" w:cstheme="majorBidi"/>
                <w:color w:val="000000"/>
                <w:sz w:val="28"/>
                <w:szCs w:val="28"/>
              </w:rPr>
            </w:pPr>
            <w:r w:rsidRPr="00024C5A">
              <w:rPr>
                <w:rFonts w:asciiTheme="majorBidi" w:hAnsiTheme="majorBidi" w:cstheme="majorBidi"/>
                <w:color w:val="000000"/>
                <w:sz w:val="28"/>
                <w:szCs w:val="28"/>
                <w:rtl/>
              </w:rPr>
              <w:t>ازدواج کودکان</w:t>
            </w:r>
          </w:p>
        </w:tc>
        <w:tc>
          <w:tcPr>
            <w:tcW w:w="1485" w:type="dxa"/>
            <w:vAlign w:val="bottom"/>
          </w:tcPr>
          <w:p w:rsidR="00024C5A" w:rsidRDefault="00024C5A" w:rsidP="00024C5A">
            <w:pPr>
              <w:jc w:val="center"/>
              <w:rPr>
                <w:rFonts w:ascii="Calibri" w:hAnsi="Calibri"/>
                <w:color w:val="000000"/>
              </w:rPr>
            </w:pPr>
            <w:r>
              <w:rPr>
                <w:rFonts w:ascii="Calibri" w:hAnsi="Calibri"/>
                <w:color w:val="000000"/>
              </w:rPr>
              <w:t>5</w:t>
            </w:r>
          </w:p>
        </w:tc>
      </w:tr>
      <w:tr w:rsidR="00024C5A" w:rsidTr="00DB27E7">
        <w:trPr>
          <w:jc w:val="center"/>
        </w:trPr>
        <w:tc>
          <w:tcPr>
            <w:tcW w:w="1350" w:type="dxa"/>
          </w:tcPr>
          <w:p w:rsidR="00024C5A" w:rsidRPr="00024C5A" w:rsidRDefault="00024C5A" w:rsidP="00024C5A">
            <w:pPr>
              <w:bidi/>
              <w:jc w:val="center"/>
              <w:rPr>
                <w:rFonts w:asciiTheme="majorBidi" w:hAnsiTheme="majorBidi" w:cstheme="majorBidi"/>
                <w:rtl/>
              </w:rPr>
            </w:pPr>
            <w:r w:rsidRPr="00024C5A">
              <w:rPr>
                <w:rFonts w:asciiTheme="majorBidi" w:hAnsiTheme="majorBidi" w:cstheme="majorBidi"/>
              </w:rPr>
              <w:t>2</w:t>
            </w:r>
          </w:p>
        </w:tc>
        <w:tc>
          <w:tcPr>
            <w:tcW w:w="3600" w:type="dxa"/>
            <w:vAlign w:val="bottom"/>
          </w:tcPr>
          <w:p w:rsidR="00024C5A" w:rsidRPr="00024C5A" w:rsidRDefault="00024C5A" w:rsidP="00024C5A">
            <w:pPr>
              <w:bidi/>
              <w:rPr>
                <w:rFonts w:asciiTheme="majorBidi" w:hAnsiTheme="majorBidi" w:cstheme="majorBidi"/>
                <w:color w:val="000000"/>
                <w:sz w:val="28"/>
                <w:szCs w:val="28"/>
              </w:rPr>
            </w:pPr>
            <w:r w:rsidRPr="00024C5A">
              <w:rPr>
                <w:rFonts w:asciiTheme="majorBidi" w:hAnsiTheme="majorBidi" w:cstheme="majorBidi"/>
                <w:color w:val="000000"/>
                <w:sz w:val="28"/>
                <w:szCs w:val="28"/>
                <w:rtl/>
              </w:rPr>
              <w:t>اعتیاد کودکان</w:t>
            </w:r>
          </w:p>
        </w:tc>
        <w:tc>
          <w:tcPr>
            <w:tcW w:w="1485" w:type="dxa"/>
            <w:vAlign w:val="bottom"/>
          </w:tcPr>
          <w:p w:rsidR="00024C5A" w:rsidRDefault="00024C5A" w:rsidP="00024C5A">
            <w:pPr>
              <w:jc w:val="center"/>
              <w:rPr>
                <w:rFonts w:ascii="Calibri" w:hAnsi="Calibri"/>
                <w:color w:val="000000"/>
              </w:rPr>
            </w:pPr>
            <w:r>
              <w:rPr>
                <w:rFonts w:ascii="Calibri" w:hAnsi="Calibri"/>
                <w:color w:val="000000"/>
              </w:rPr>
              <w:t>5</w:t>
            </w:r>
          </w:p>
        </w:tc>
      </w:tr>
      <w:tr w:rsidR="00024C5A" w:rsidTr="00DB27E7">
        <w:trPr>
          <w:jc w:val="center"/>
        </w:trPr>
        <w:tc>
          <w:tcPr>
            <w:tcW w:w="1350" w:type="dxa"/>
          </w:tcPr>
          <w:p w:rsidR="00024C5A" w:rsidRPr="00024C5A" w:rsidRDefault="00024C5A" w:rsidP="00024C5A">
            <w:pPr>
              <w:bidi/>
              <w:jc w:val="center"/>
              <w:rPr>
                <w:rFonts w:asciiTheme="majorBidi" w:hAnsiTheme="majorBidi" w:cstheme="majorBidi"/>
                <w:rtl/>
              </w:rPr>
            </w:pPr>
            <w:r w:rsidRPr="00024C5A">
              <w:rPr>
                <w:rFonts w:asciiTheme="majorBidi" w:hAnsiTheme="majorBidi" w:cstheme="majorBidi"/>
              </w:rPr>
              <w:t>3</w:t>
            </w:r>
          </w:p>
        </w:tc>
        <w:tc>
          <w:tcPr>
            <w:tcW w:w="3600" w:type="dxa"/>
            <w:vAlign w:val="bottom"/>
          </w:tcPr>
          <w:p w:rsidR="00024C5A" w:rsidRPr="00024C5A" w:rsidRDefault="00024C5A" w:rsidP="00024C5A">
            <w:pPr>
              <w:bidi/>
              <w:rPr>
                <w:rFonts w:asciiTheme="majorBidi" w:hAnsiTheme="majorBidi" w:cstheme="majorBidi"/>
                <w:color w:val="000000"/>
                <w:sz w:val="28"/>
                <w:szCs w:val="28"/>
              </w:rPr>
            </w:pPr>
            <w:r w:rsidRPr="00024C5A">
              <w:rPr>
                <w:rFonts w:asciiTheme="majorBidi" w:hAnsiTheme="majorBidi" w:cstheme="majorBidi"/>
                <w:color w:val="000000"/>
                <w:sz w:val="28"/>
                <w:szCs w:val="28"/>
                <w:rtl/>
              </w:rPr>
              <w:t>اعدام کودکان</w:t>
            </w:r>
          </w:p>
        </w:tc>
        <w:tc>
          <w:tcPr>
            <w:tcW w:w="1485" w:type="dxa"/>
            <w:vAlign w:val="bottom"/>
          </w:tcPr>
          <w:p w:rsidR="00024C5A" w:rsidRDefault="00024C5A" w:rsidP="00024C5A">
            <w:pPr>
              <w:jc w:val="center"/>
              <w:rPr>
                <w:rFonts w:ascii="Calibri" w:hAnsi="Calibri"/>
                <w:color w:val="000000"/>
              </w:rPr>
            </w:pPr>
            <w:r>
              <w:rPr>
                <w:rFonts w:ascii="Calibri" w:hAnsi="Calibri"/>
                <w:color w:val="000000"/>
              </w:rPr>
              <w:t>3</w:t>
            </w:r>
          </w:p>
        </w:tc>
      </w:tr>
      <w:tr w:rsidR="00024C5A" w:rsidTr="00DB27E7">
        <w:trPr>
          <w:jc w:val="center"/>
        </w:trPr>
        <w:tc>
          <w:tcPr>
            <w:tcW w:w="1350" w:type="dxa"/>
          </w:tcPr>
          <w:p w:rsidR="00024C5A" w:rsidRPr="00024C5A" w:rsidRDefault="00024C5A" w:rsidP="00024C5A">
            <w:pPr>
              <w:bidi/>
              <w:jc w:val="center"/>
              <w:rPr>
                <w:rFonts w:asciiTheme="majorBidi" w:hAnsiTheme="majorBidi" w:cstheme="majorBidi"/>
                <w:rtl/>
              </w:rPr>
            </w:pPr>
            <w:r w:rsidRPr="00024C5A">
              <w:rPr>
                <w:rFonts w:asciiTheme="majorBidi" w:hAnsiTheme="majorBidi" w:cstheme="majorBidi"/>
              </w:rPr>
              <w:t>4</w:t>
            </w:r>
          </w:p>
        </w:tc>
        <w:tc>
          <w:tcPr>
            <w:tcW w:w="3600" w:type="dxa"/>
            <w:vAlign w:val="bottom"/>
          </w:tcPr>
          <w:p w:rsidR="00024C5A" w:rsidRPr="00024C5A" w:rsidRDefault="00024C5A" w:rsidP="00024C5A">
            <w:pPr>
              <w:bidi/>
              <w:rPr>
                <w:rFonts w:asciiTheme="majorBidi" w:hAnsiTheme="majorBidi" w:cstheme="majorBidi"/>
                <w:color w:val="000000"/>
                <w:sz w:val="28"/>
                <w:szCs w:val="28"/>
              </w:rPr>
            </w:pPr>
            <w:r w:rsidRPr="00024C5A">
              <w:rPr>
                <w:rFonts w:asciiTheme="majorBidi" w:hAnsiTheme="majorBidi" w:cstheme="majorBidi"/>
                <w:color w:val="000000"/>
                <w:sz w:val="28"/>
                <w:szCs w:val="28"/>
                <w:rtl/>
              </w:rPr>
              <w:t>اموزش و پرورش</w:t>
            </w:r>
          </w:p>
        </w:tc>
        <w:tc>
          <w:tcPr>
            <w:tcW w:w="1485" w:type="dxa"/>
            <w:vAlign w:val="bottom"/>
          </w:tcPr>
          <w:p w:rsidR="00024C5A" w:rsidRDefault="00024C5A" w:rsidP="00024C5A">
            <w:pPr>
              <w:jc w:val="center"/>
              <w:rPr>
                <w:rFonts w:ascii="Calibri" w:hAnsi="Calibri"/>
                <w:color w:val="000000"/>
              </w:rPr>
            </w:pPr>
            <w:r>
              <w:rPr>
                <w:rFonts w:ascii="Calibri" w:hAnsi="Calibri"/>
                <w:color w:val="000000"/>
              </w:rPr>
              <w:t>23</w:t>
            </w:r>
          </w:p>
        </w:tc>
      </w:tr>
      <w:tr w:rsidR="00024C5A" w:rsidTr="00DB27E7">
        <w:trPr>
          <w:jc w:val="center"/>
        </w:trPr>
        <w:tc>
          <w:tcPr>
            <w:tcW w:w="1350" w:type="dxa"/>
          </w:tcPr>
          <w:p w:rsidR="00024C5A" w:rsidRPr="00024C5A" w:rsidRDefault="00024C5A" w:rsidP="00024C5A">
            <w:pPr>
              <w:bidi/>
              <w:jc w:val="center"/>
              <w:rPr>
                <w:rFonts w:asciiTheme="majorBidi" w:hAnsiTheme="majorBidi" w:cstheme="majorBidi"/>
                <w:rtl/>
              </w:rPr>
            </w:pPr>
            <w:r w:rsidRPr="00024C5A">
              <w:rPr>
                <w:rFonts w:asciiTheme="majorBidi" w:hAnsiTheme="majorBidi" w:cstheme="majorBidi"/>
              </w:rPr>
              <w:t>5</w:t>
            </w:r>
          </w:p>
        </w:tc>
        <w:tc>
          <w:tcPr>
            <w:tcW w:w="3600" w:type="dxa"/>
            <w:vAlign w:val="bottom"/>
          </w:tcPr>
          <w:p w:rsidR="00024C5A" w:rsidRPr="00024C5A" w:rsidRDefault="00024C5A" w:rsidP="00024C5A">
            <w:pPr>
              <w:bidi/>
              <w:rPr>
                <w:rFonts w:asciiTheme="majorBidi" w:hAnsiTheme="majorBidi" w:cstheme="majorBidi"/>
                <w:color w:val="000000"/>
                <w:sz w:val="28"/>
                <w:szCs w:val="28"/>
              </w:rPr>
            </w:pPr>
            <w:r w:rsidRPr="00024C5A">
              <w:rPr>
                <w:rFonts w:asciiTheme="majorBidi" w:hAnsiTheme="majorBidi" w:cstheme="majorBidi"/>
                <w:color w:val="000000"/>
                <w:sz w:val="28"/>
                <w:szCs w:val="28"/>
                <w:rtl/>
              </w:rPr>
              <w:t>بیماری های کودکان</w:t>
            </w:r>
          </w:p>
        </w:tc>
        <w:tc>
          <w:tcPr>
            <w:tcW w:w="1485" w:type="dxa"/>
            <w:vAlign w:val="bottom"/>
          </w:tcPr>
          <w:p w:rsidR="00024C5A" w:rsidRDefault="00024C5A" w:rsidP="00024C5A">
            <w:pPr>
              <w:jc w:val="center"/>
              <w:rPr>
                <w:rFonts w:ascii="Calibri" w:hAnsi="Calibri"/>
                <w:color w:val="000000"/>
              </w:rPr>
            </w:pPr>
            <w:r>
              <w:rPr>
                <w:rFonts w:ascii="Calibri" w:hAnsi="Calibri"/>
                <w:color w:val="000000"/>
              </w:rPr>
              <w:t>7</w:t>
            </w:r>
          </w:p>
        </w:tc>
      </w:tr>
      <w:tr w:rsidR="00024C5A" w:rsidTr="00DB27E7">
        <w:trPr>
          <w:jc w:val="center"/>
        </w:trPr>
        <w:tc>
          <w:tcPr>
            <w:tcW w:w="1350" w:type="dxa"/>
          </w:tcPr>
          <w:p w:rsidR="00024C5A" w:rsidRPr="00024C5A" w:rsidRDefault="00024C5A" w:rsidP="00024C5A">
            <w:pPr>
              <w:bidi/>
              <w:jc w:val="center"/>
              <w:rPr>
                <w:rFonts w:asciiTheme="majorBidi" w:hAnsiTheme="majorBidi" w:cstheme="majorBidi"/>
                <w:rtl/>
              </w:rPr>
            </w:pPr>
            <w:r w:rsidRPr="00024C5A">
              <w:rPr>
                <w:rFonts w:asciiTheme="majorBidi" w:hAnsiTheme="majorBidi" w:cstheme="majorBidi"/>
              </w:rPr>
              <w:t>6</w:t>
            </w:r>
          </w:p>
        </w:tc>
        <w:tc>
          <w:tcPr>
            <w:tcW w:w="3600" w:type="dxa"/>
            <w:vAlign w:val="bottom"/>
          </w:tcPr>
          <w:p w:rsidR="00024C5A" w:rsidRPr="00024C5A" w:rsidRDefault="00024C5A" w:rsidP="00024C5A">
            <w:pPr>
              <w:bidi/>
              <w:rPr>
                <w:rFonts w:asciiTheme="majorBidi" w:hAnsiTheme="majorBidi" w:cstheme="majorBidi"/>
                <w:color w:val="000000"/>
                <w:sz w:val="28"/>
                <w:szCs w:val="28"/>
              </w:rPr>
            </w:pPr>
            <w:r w:rsidRPr="00024C5A">
              <w:rPr>
                <w:rFonts w:asciiTheme="majorBidi" w:hAnsiTheme="majorBidi" w:cstheme="majorBidi"/>
                <w:color w:val="000000"/>
                <w:sz w:val="28"/>
                <w:szCs w:val="28"/>
                <w:rtl/>
              </w:rPr>
              <w:t>حمایت از کودکان</w:t>
            </w:r>
          </w:p>
        </w:tc>
        <w:tc>
          <w:tcPr>
            <w:tcW w:w="1485" w:type="dxa"/>
            <w:vAlign w:val="bottom"/>
          </w:tcPr>
          <w:p w:rsidR="00024C5A" w:rsidRDefault="00024C5A" w:rsidP="00024C5A">
            <w:pPr>
              <w:jc w:val="center"/>
              <w:rPr>
                <w:rFonts w:ascii="Calibri" w:hAnsi="Calibri"/>
                <w:color w:val="000000"/>
              </w:rPr>
            </w:pPr>
            <w:r>
              <w:rPr>
                <w:rFonts w:ascii="Calibri" w:hAnsi="Calibri"/>
                <w:color w:val="000000"/>
              </w:rPr>
              <w:t>9</w:t>
            </w:r>
          </w:p>
        </w:tc>
      </w:tr>
      <w:tr w:rsidR="00024C5A" w:rsidTr="00DB27E7">
        <w:trPr>
          <w:jc w:val="center"/>
        </w:trPr>
        <w:tc>
          <w:tcPr>
            <w:tcW w:w="1350" w:type="dxa"/>
          </w:tcPr>
          <w:p w:rsidR="00024C5A" w:rsidRPr="00024C5A" w:rsidRDefault="00024C5A" w:rsidP="00024C5A">
            <w:pPr>
              <w:bidi/>
              <w:jc w:val="center"/>
              <w:rPr>
                <w:rFonts w:asciiTheme="majorBidi" w:hAnsiTheme="majorBidi" w:cstheme="majorBidi"/>
                <w:rtl/>
              </w:rPr>
            </w:pPr>
            <w:r w:rsidRPr="00024C5A">
              <w:rPr>
                <w:rFonts w:asciiTheme="majorBidi" w:hAnsiTheme="majorBidi" w:cstheme="majorBidi"/>
              </w:rPr>
              <w:t>7</w:t>
            </w:r>
          </w:p>
        </w:tc>
        <w:tc>
          <w:tcPr>
            <w:tcW w:w="3600" w:type="dxa"/>
            <w:vAlign w:val="bottom"/>
          </w:tcPr>
          <w:p w:rsidR="00024C5A" w:rsidRPr="00024C5A" w:rsidRDefault="00024C5A" w:rsidP="00024C5A">
            <w:pPr>
              <w:bidi/>
              <w:rPr>
                <w:rFonts w:asciiTheme="majorBidi" w:hAnsiTheme="majorBidi" w:cstheme="majorBidi"/>
                <w:color w:val="000000"/>
                <w:sz w:val="28"/>
                <w:szCs w:val="28"/>
              </w:rPr>
            </w:pPr>
            <w:r w:rsidRPr="00024C5A">
              <w:rPr>
                <w:rFonts w:asciiTheme="majorBidi" w:hAnsiTheme="majorBidi" w:cstheme="majorBidi"/>
                <w:color w:val="000000"/>
                <w:sz w:val="28"/>
                <w:szCs w:val="28"/>
                <w:rtl/>
              </w:rPr>
              <w:t>خشنونت علیه کودکان</w:t>
            </w:r>
          </w:p>
        </w:tc>
        <w:tc>
          <w:tcPr>
            <w:tcW w:w="1485" w:type="dxa"/>
            <w:vAlign w:val="bottom"/>
          </w:tcPr>
          <w:p w:rsidR="00024C5A" w:rsidRDefault="00024C5A" w:rsidP="00024C5A">
            <w:pPr>
              <w:jc w:val="center"/>
              <w:rPr>
                <w:rFonts w:ascii="Calibri" w:hAnsi="Calibri"/>
                <w:color w:val="000000"/>
              </w:rPr>
            </w:pPr>
            <w:r>
              <w:rPr>
                <w:rFonts w:ascii="Calibri" w:hAnsi="Calibri"/>
                <w:color w:val="000000"/>
              </w:rPr>
              <w:t>16</w:t>
            </w:r>
          </w:p>
        </w:tc>
      </w:tr>
      <w:tr w:rsidR="00024C5A" w:rsidTr="00DB27E7">
        <w:trPr>
          <w:jc w:val="center"/>
        </w:trPr>
        <w:tc>
          <w:tcPr>
            <w:tcW w:w="1350" w:type="dxa"/>
          </w:tcPr>
          <w:p w:rsidR="00024C5A" w:rsidRPr="00024C5A" w:rsidRDefault="00024C5A" w:rsidP="00024C5A">
            <w:pPr>
              <w:bidi/>
              <w:jc w:val="center"/>
              <w:rPr>
                <w:rFonts w:asciiTheme="majorBidi" w:hAnsiTheme="majorBidi" w:cstheme="majorBidi"/>
                <w:rtl/>
              </w:rPr>
            </w:pPr>
            <w:r w:rsidRPr="00024C5A">
              <w:rPr>
                <w:rFonts w:asciiTheme="majorBidi" w:hAnsiTheme="majorBidi" w:cstheme="majorBidi"/>
              </w:rPr>
              <w:t>8</w:t>
            </w:r>
          </w:p>
        </w:tc>
        <w:tc>
          <w:tcPr>
            <w:tcW w:w="3600" w:type="dxa"/>
            <w:vAlign w:val="bottom"/>
          </w:tcPr>
          <w:p w:rsidR="00024C5A" w:rsidRPr="00024C5A" w:rsidRDefault="00024C5A" w:rsidP="00024C5A">
            <w:pPr>
              <w:bidi/>
              <w:rPr>
                <w:rFonts w:asciiTheme="majorBidi" w:hAnsiTheme="majorBidi" w:cstheme="majorBidi"/>
                <w:color w:val="000000"/>
                <w:sz w:val="28"/>
                <w:szCs w:val="28"/>
              </w:rPr>
            </w:pPr>
            <w:r w:rsidRPr="00024C5A">
              <w:rPr>
                <w:rFonts w:asciiTheme="majorBidi" w:hAnsiTheme="majorBidi" w:cstheme="majorBidi"/>
                <w:color w:val="000000"/>
                <w:sz w:val="28"/>
                <w:szCs w:val="28"/>
                <w:rtl/>
              </w:rPr>
              <w:t>خودکشی کودکان</w:t>
            </w:r>
          </w:p>
        </w:tc>
        <w:tc>
          <w:tcPr>
            <w:tcW w:w="1485" w:type="dxa"/>
            <w:vAlign w:val="bottom"/>
          </w:tcPr>
          <w:p w:rsidR="00024C5A" w:rsidRDefault="00024C5A" w:rsidP="00024C5A">
            <w:pPr>
              <w:jc w:val="center"/>
              <w:rPr>
                <w:rFonts w:ascii="Calibri" w:hAnsi="Calibri"/>
                <w:color w:val="000000"/>
              </w:rPr>
            </w:pPr>
            <w:r>
              <w:rPr>
                <w:rFonts w:ascii="Calibri" w:hAnsi="Calibri"/>
                <w:color w:val="000000"/>
              </w:rPr>
              <w:t>1</w:t>
            </w:r>
          </w:p>
        </w:tc>
      </w:tr>
      <w:tr w:rsidR="00024C5A" w:rsidTr="00DB27E7">
        <w:trPr>
          <w:jc w:val="center"/>
        </w:trPr>
        <w:tc>
          <w:tcPr>
            <w:tcW w:w="1350" w:type="dxa"/>
          </w:tcPr>
          <w:p w:rsidR="00024C5A" w:rsidRPr="00024C5A" w:rsidRDefault="00024C5A" w:rsidP="00024C5A">
            <w:pPr>
              <w:bidi/>
              <w:jc w:val="center"/>
              <w:rPr>
                <w:rFonts w:asciiTheme="majorBidi" w:hAnsiTheme="majorBidi" w:cstheme="majorBidi"/>
                <w:rtl/>
              </w:rPr>
            </w:pPr>
            <w:r w:rsidRPr="00024C5A">
              <w:rPr>
                <w:rFonts w:asciiTheme="majorBidi" w:hAnsiTheme="majorBidi" w:cstheme="majorBidi"/>
              </w:rPr>
              <w:t>9</w:t>
            </w:r>
          </w:p>
        </w:tc>
        <w:tc>
          <w:tcPr>
            <w:tcW w:w="3600" w:type="dxa"/>
            <w:vAlign w:val="bottom"/>
          </w:tcPr>
          <w:p w:rsidR="00024C5A" w:rsidRPr="00024C5A" w:rsidRDefault="00024C5A" w:rsidP="00024C5A">
            <w:pPr>
              <w:bidi/>
              <w:rPr>
                <w:rFonts w:asciiTheme="majorBidi" w:hAnsiTheme="majorBidi" w:cstheme="majorBidi"/>
                <w:color w:val="000000"/>
                <w:sz w:val="28"/>
                <w:szCs w:val="28"/>
              </w:rPr>
            </w:pPr>
            <w:r w:rsidRPr="00024C5A">
              <w:rPr>
                <w:rFonts w:asciiTheme="majorBidi" w:hAnsiTheme="majorBidi" w:cstheme="majorBidi"/>
                <w:color w:val="000000"/>
                <w:sz w:val="28"/>
                <w:szCs w:val="28"/>
                <w:rtl/>
              </w:rPr>
              <w:t>کودک ازاری</w:t>
            </w:r>
          </w:p>
        </w:tc>
        <w:tc>
          <w:tcPr>
            <w:tcW w:w="1485" w:type="dxa"/>
            <w:vAlign w:val="bottom"/>
          </w:tcPr>
          <w:p w:rsidR="00024C5A" w:rsidRDefault="00024C5A" w:rsidP="00024C5A">
            <w:pPr>
              <w:jc w:val="center"/>
              <w:rPr>
                <w:rFonts w:ascii="Calibri" w:hAnsi="Calibri"/>
                <w:color w:val="000000"/>
              </w:rPr>
            </w:pPr>
            <w:r>
              <w:rPr>
                <w:rFonts w:ascii="Calibri" w:hAnsi="Calibri"/>
                <w:color w:val="000000"/>
              </w:rPr>
              <w:t>4</w:t>
            </w:r>
          </w:p>
        </w:tc>
      </w:tr>
      <w:tr w:rsidR="00024C5A" w:rsidTr="00DB27E7">
        <w:trPr>
          <w:jc w:val="center"/>
        </w:trPr>
        <w:tc>
          <w:tcPr>
            <w:tcW w:w="1350" w:type="dxa"/>
          </w:tcPr>
          <w:p w:rsidR="00024C5A" w:rsidRPr="00024C5A" w:rsidRDefault="00024C5A" w:rsidP="00024C5A">
            <w:pPr>
              <w:bidi/>
              <w:jc w:val="center"/>
              <w:rPr>
                <w:rFonts w:asciiTheme="majorBidi" w:hAnsiTheme="majorBidi" w:cstheme="majorBidi"/>
                <w:rtl/>
              </w:rPr>
            </w:pPr>
            <w:r w:rsidRPr="00024C5A">
              <w:rPr>
                <w:rFonts w:asciiTheme="majorBidi" w:hAnsiTheme="majorBidi" w:cstheme="majorBidi"/>
              </w:rPr>
              <w:t>10</w:t>
            </w:r>
          </w:p>
        </w:tc>
        <w:tc>
          <w:tcPr>
            <w:tcW w:w="3600" w:type="dxa"/>
            <w:vAlign w:val="bottom"/>
          </w:tcPr>
          <w:p w:rsidR="00024C5A" w:rsidRPr="00024C5A" w:rsidRDefault="00024C5A" w:rsidP="00024C5A">
            <w:pPr>
              <w:bidi/>
              <w:rPr>
                <w:rFonts w:asciiTheme="majorBidi" w:hAnsiTheme="majorBidi" w:cstheme="majorBidi"/>
                <w:color w:val="000000"/>
                <w:sz w:val="28"/>
                <w:szCs w:val="28"/>
              </w:rPr>
            </w:pPr>
            <w:r w:rsidRPr="00024C5A">
              <w:rPr>
                <w:rFonts w:asciiTheme="majorBidi" w:hAnsiTheme="majorBidi" w:cstheme="majorBidi"/>
                <w:color w:val="000000"/>
                <w:sz w:val="28"/>
                <w:szCs w:val="28"/>
                <w:rtl/>
              </w:rPr>
              <w:t>کودکان بیهویت</w:t>
            </w:r>
          </w:p>
        </w:tc>
        <w:tc>
          <w:tcPr>
            <w:tcW w:w="1485" w:type="dxa"/>
            <w:vAlign w:val="bottom"/>
          </w:tcPr>
          <w:p w:rsidR="00024C5A" w:rsidRDefault="00024C5A" w:rsidP="00024C5A">
            <w:pPr>
              <w:jc w:val="center"/>
              <w:rPr>
                <w:rFonts w:ascii="Calibri" w:hAnsi="Calibri"/>
                <w:color w:val="000000"/>
              </w:rPr>
            </w:pPr>
            <w:r>
              <w:rPr>
                <w:rFonts w:ascii="Calibri" w:hAnsi="Calibri"/>
                <w:color w:val="000000"/>
              </w:rPr>
              <w:t>6</w:t>
            </w:r>
          </w:p>
        </w:tc>
      </w:tr>
      <w:tr w:rsidR="00024C5A" w:rsidTr="00DB27E7">
        <w:trPr>
          <w:jc w:val="center"/>
        </w:trPr>
        <w:tc>
          <w:tcPr>
            <w:tcW w:w="1350" w:type="dxa"/>
          </w:tcPr>
          <w:p w:rsidR="00024C5A" w:rsidRPr="00024C5A" w:rsidRDefault="00024C5A" w:rsidP="00024C5A">
            <w:pPr>
              <w:bidi/>
              <w:jc w:val="center"/>
              <w:rPr>
                <w:rFonts w:asciiTheme="majorBidi" w:hAnsiTheme="majorBidi" w:cstheme="majorBidi"/>
                <w:rtl/>
              </w:rPr>
            </w:pPr>
            <w:r w:rsidRPr="00024C5A">
              <w:rPr>
                <w:rFonts w:asciiTheme="majorBidi" w:hAnsiTheme="majorBidi" w:cstheme="majorBidi"/>
              </w:rPr>
              <w:t>11</w:t>
            </w:r>
          </w:p>
        </w:tc>
        <w:tc>
          <w:tcPr>
            <w:tcW w:w="3600" w:type="dxa"/>
            <w:vAlign w:val="bottom"/>
          </w:tcPr>
          <w:p w:rsidR="00024C5A" w:rsidRPr="00024C5A" w:rsidRDefault="00024C5A" w:rsidP="00024C5A">
            <w:pPr>
              <w:bidi/>
              <w:rPr>
                <w:rFonts w:asciiTheme="majorBidi" w:hAnsiTheme="majorBidi" w:cstheme="majorBidi"/>
                <w:color w:val="000000"/>
                <w:sz w:val="28"/>
                <w:szCs w:val="28"/>
              </w:rPr>
            </w:pPr>
            <w:r w:rsidRPr="00024C5A">
              <w:rPr>
                <w:rFonts w:asciiTheme="majorBidi" w:hAnsiTheme="majorBidi" w:cstheme="majorBidi"/>
                <w:color w:val="000000"/>
                <w:sz w:val="28"/>
                <w:szCs w:val="28"/>
                <w:rtl/>
              </w:rPr>
              <w:t>کودکان در زلزله</w:t>
            </w:r>
          </w:p>
        </w:tc>
        <w:tc>
          <w:tcPr>
            <w:tcW w:w="1485" w:type="dxa"/>
            <w:vAlign w:val="bottom"/>
          </w:tcPr>
          <w:p w:rsidR="00024C5A" w:rsidRDefault="00024C5A" w:rsidP="00024C5A">
            <w:pPr>
              <w:jc w:val="center"/>
              <w:rPr>
                <w:rFonts w:ascii="Calibri" w:hAnsi="Calibri"/>
                <w:color w:val="000000"/>
              </w:rPr>
            </w:pPr>
            <w:r>
              <w:rPr>
                <w:rFonts w:ascii="Calibri" w:hAnsi="Calibri"/>
                <w:color w:val="000000"/>
              </w:rPr>
              <w:t>0</w:t>
            </w:r>
          </w:p>
        </w:tc>
      </w:tr>
      <w:tr w:rsidR="00024C5A" w:rsidTr="00DB27E7">
        <w:trPr>
          <w:jc w:val="center"/>
        </w:trPr>
        <w:tc>
          <w:tcPr>
            <w:tcW w:w="1350" w:type="dxa"/>
          </w:tcPr>
          <w:p w:rsidR="00024C5A" w:rsidRPr="00024C5A" w:rsidRDefault="00024C5A" w:rsidP="00024C5A">
            <w:pPr>
              <w:bidi/>
              <w:jc w:val="center"/>
              <w:rPr>
                <w:rFonts w:asciiTheme="majorBidi" w:hAnsiTheme="majorBidi" w:cstheme="majorBidi"/>
                <w:rtl/>
              </w:rPr>
            </w:pPr>
            <w:r w:rsidRPr="00024C5A">
              <w:rPr>
                <w:rFonts w:asciiTheme="majorBidi" w:hAnsiTheme="majorBidi" w:cstheme="majorBidi"/>
              </w:rPr>
              <w:t>12</w:t>
            </w:r>
          </w:p>
        </w:tc>
        <w:tc>
          <w:tcPr>
            <w:tcW w:w="3600" w:type="dxa"/>
            <w:vAlign w:val="bottom"/>
          </w:tcPr>
          <w:p w:rsidR="00024C5A" w:rsidRPr="00024C5A" w:rsidRDefault="00024C5A" w:rsidP="00024C5A">
            <w:pPr>
              <w:bidi/>
              <w:rPr>
                <w:rFonts w:asciiTheme="majorBidi" w:hAnsiTheme="majorBidi" w:cstheme="majorBidi"/>
                <w:color w:val="000000"/>
                <w:sz w:val="28"/>
                <w:szCs w:val="28"/>
              </w:rPr>
            </w:pPr>
            <w:r w:rsidRPr="00024C5A">
              <w:rPr>
                <w:rFonts w:asciiTheme="majorBidi" w:hAnsiTheme="majorBidi" w:cstheme="majorBidi"/>
                <w:color w:val="000000"/>
                <w:sz w:val="28"/>
                <w:szCs w:val="28"/>
                <w:rtl/>
              </w:rPr>
              <w:t>کودکان فقر</w:t>
            </w:r>
          </w:p>
        </w:tc>
        <w:tc>
          <w:tcPr>
            <w:tcW w:w="1485" w:type="dxa"/>
            <w:vAlign w:val="bottom"/>
          </w:tcPr>
          <w:p w:rsidR="00024C5A" w:rsidRDefault="00024C5A" w:rsidP="00024C5A">
            <w:pPr>
              <w:jc w:val="center"/>
              <w:rPr>
                <w:rFonts w:ascii="Calibri" w:hAnsi="Calibri"/>
                <w:color w:val="000000"/>
              </w:rPr>
            </w:pPr>
            <w:r>
              <w:rPr>
                <w:rFonts w:ascii="Calibri" w:hAnsi="Calibri"/>
                <w:color w:val="000000"/>
              </w:rPr>
              <w:t>3</w:t>
            </w:r>
          </w:p>
        </w:tc>
      </w:tr>
      <w:tr w:rsidR="00024C5A" w:rsidTr="00DB27E7">
        <w:trPr>
          <w:jc w:val="center"/>
        </w:trPr>
        <w:tc>
          <w:tcPr>
            <w:tcW w:w="1350" w:type="dxa"/>
          </w:tcPr>
          <w:p w:rsidR="00024C5A" w:rsidRPr="00024C5A" w:rsidRDefault="00024C5A" w:rsidP="00024C5A">
            <w:pPr>
              <w:bidi/>
              <w:jc w:val="center"/>
              <w:rPr>
                <w:rFonts w:asciiTheme="majorBidi" w:hAnsiTheme="majorBidi" w:cstheme="majorBidi"/>
                <w:rtl/>
              </w:rPr>
            </w:pPr>
            <w:r w:rsidRPr="00024C5A">
              <w:rPr>
                <w:rFonts w:asciiTheme="majorBidi" w:hAnsiTheme="majorBidi" w:cstheme="majorBidi"/>
              </w:rPr>
              <w:t>13</w:t>
            </w:r>
          </w:p>
        </w:tc>
        <w:tc>
          <w:tcPr>
            <w:tcW w:w="3600" w:type="dxa"/>
            <w:vAlign w:val="bottom"/>
          </w:tcPr>
          <w:p w:rsidR="00024C5A" w:rsidRPr="00024C5A" w:rsidRDefault="00024C5A" w:rsidP="00024C5A">
            <w:pPr>
              <w:bidi/>
              <w:rPr>
                <w:rFonts w:asciiTheme="majorBidi" w:hAnsiTheme="majorBidi" w:cstheme="majorBidi"/>
                <w:color w:val="000000"/>
                <w:sz w:val="28"/>
                <w:szCs w:val="28"/>
              </w:rPr>
            </w:pPr>
            <w:r w:rsidRPr="00024C5A">
              <w:rPr>
                <w:rFonts w:asciiTheme="majorBidi" w:hAnsiTheme="majorBidi" w:cstheme="majorBidi"/>
                <w:color w:val="000000"/>
                <w:sz w:val="28"/>
                <w:szCs w:val="28"/>
                <w:rtl/>
              </w:rPr>
              <w:t>کودکان کار</w:t>
            </w:r>
          </w:p>
        </w:tc>
        <w:tc>
          <w:tcPr>
            <w:tcW w:w="1485" w:type="dxa"/>
            <w:vAlign w:val="bottom"/>
          </w:tcPr>
          <w:p w:rsidR="00024C5A" w:rsidRDefault="00024C5A" w:rsidP="00024C5A">
            <w:pPr>
              <w:jc w:val="center"/>
              <w:rPr>
                <w:rFonts w:ascii="Calibri" w:hAnsi="Calibri"/>
                <w:color w:val="000000"/>
              </w:rPr>
            </w:pPr>
            <w:r>
              <w:rPr>
                <w:rFonts w:ascii="Calibri" w:hAnsi="Calibri"/>
                <w:color w:val="000000"/>
              </w:rPr>
              <w:t>4</w:t>
            </w:r>
          </w:p>
        </w:tc>
      </w:tr>
      <w:tr w:rsidR="00024C5A" w:rsidTr="00DB27E7">
        <w:trPr>
          <w:jc w:val="center"/>
        </w:trPr>
        <w:tc>
          <w:tcPr>
            <w:tcW w:w="1350" w:type="dxa"/>
          </w:tcPr>
          <w:p w:rsidR="00024C5A" w:rsidRPr="00024C5A" w:rsidRDefault="00024C5A" w:rsidP="00024C5A">
            <w:pPr>
              <w:bidi/>
              <w:jc w:val="center"/>
              <w:rPr>
                <w:rFonts w:asciiTheme="majorBidi" w:hAnsiTheme="majorBidi" w:cstheme="majorBidi"/>
              </w:rPr>
            </w:pPr>
            <w:r w:rsidRPr="00024C5A">
              <w:rPr>
                <w:rFonts w:asciiTheme="majorBidi" w:hAnsiTheme="majorBidi" w:cstheme="majorBidi"/>
              </w:rPr>
              <w:t>14</w:t>
            </w:r>
          </w:p>
        </w:tc>
        <w:tc>
          <w:tcPr>
            <w:tcW w:w="3600" w:type="dxa"/>
            <w:vAlign w:val="bottom"/>
          </w:tcPr>
          <w:p w:rsidR="00024C5A" w:rsidRPr="00024C5A" w:rsidRDefault="00024C5A" w:rsidP="00024C5A">
            <w:pPr>
              <w:bidi/>
              <w:rPr>
                <w:rFonts w:asciiTheme="majorBidi" w:hAnsiTheme="majorBidi" w:cstheme="majorBidi"/>
                <w:color w:val="000000"/>
                <w:sz w:val="28"/>
                <w:szCs w:val="28"/>
              </w:rPr>
            </w:pPr>
            <w:r w:rsidRPr="00024C5A">
              <w:rPr>
                <w:rFonts w:asciiTheme="majorBidi" w:hAnsiTheme="majorBidi" w:cstheme="majorBidi"/>
                <w:color w:val="000000"/>
                <w:sz w:val="28"/>
                <w:szCs w:val="28"/>
                <w:rtl/>
              </w:rPr>
              <w:t>اسیب های اجتماعی</w:t>
            </w:r>
          </w:p>
        </w:tc>
        <w:tc>
          <w:tcPr>
            <w:tcW w:w="1485" w:type="dxa"/>
            <w:vAlign w:val="bottom"/>
          </w:tcPr>
          <w:p w:rsidR="00024C5A" w:rsidRDefault="00024C5A" w:rsidP="00024C5A">
            <w:pPr>
              <w:jc w:val="center"/>
              <w:rPr>
                <w:rFonts w:ascii="Calibri" w:hAnsi="Calibri"/>
                <w:color w:val="000000"/>
              </w:rPr>
            </w:pPr>
            <w:r>
              <w:rPr>
                <w:rFonts w:ascii="Calibri" w:hAnsi="Calibri"/>
                <w:color w:val="000000"/>
              </w:rPr>
              <w:t>4</w:t>
            </w:r>
          </w:p>
        </w:tc>
      </w:tr>
    </w:tbl>
    <w:p w:rsidR="00972EEF" w:rsidRDefault="00972EEF" w:rsidP="00DB27E7">
      <w:pPr>
        <w:pStyle w:val="NoSpacing"/>
        <w:bidi/>
        <w:jc w:val="center"/>
      </w:pPr>
    </w:p>
    <w:p w:rsidR="00864F73" w:rsidRPr="00DB27E7" w:rsidRDefault="00864F73" w:rsidP="00864F73">
      <w:pPr>
        <w:pStyle w:val="NoSpacing"/>
        <w:bidi/>
        <w:jc w:val="center"/>
      </w:pPr>
    </w:p>
    <w:p w:rsidR="00DB27E7" w:rsidRPr="00DB27E7" w:rsidRDefault="00DB27E7" w:rsidP="00DB27E7">
      <w:pPr>
        <w:pStyle w:val="NoSpacing"/>
        <w:bidi/>
        <w:jc w:val="center"/>
        <w:rPr>
          <w:rtl/>
        </w:rPr>
      </w:pPr>
      <w:r w:rsidRPr="00DB27E7">
        <w:rPr>
          <w:rFonts w:hint="cs"/>
          <w:rtl/>
        </w:rPr>
        <w:t>آمار فوق از گزارشات رسانه های داخلی و خارجی مورد تائید دولت جمهوری اسلامی ایران جمع</w:t>
      </w:r>
      <w:r w:rsidRPr="00DB27E7">
        <w:t xml:space="preserve"> </w:t>
      </w:r>
      <w:r w:rsidRPr="00DB27E7">
        <w:rPr>
          <w:rFonts w:hint="cs"/>
          <w:rtl/>
        </w:rPr>
        <w:t xml:space="preserve">آوری شده و عملا نمیتواند بیش از 30 در صد واقعیت های جامعه باشد </w:t>
      </w:r>
      <w:r w:rsidRPr="00DB27E7">
        <w:t>.</w:t>
      </w:r>
    </w:p>
    <w:p w:rsidR="00DB27E7" w:rsidRDefault="00DB27E7" w:rsidP="00DB27E7">
      <w:pPr>
        <w:pStyle w:val="NoSpacing"/>
        <w:bidi/>
        <w:jc w:val="center"/>
      </w:pPr>
      <w:r w:rsidRPr="00DB27E7">
        <w:rPr>
          <w:rFonts w:hint="cs"/>
          <w:rtl/>
        </w:rPr>
        <w:t xml:space="preserve">این گزارشات از سایت کمیته دفاع از حقوق کود ک و نوجوان که از رسانه های </w:t>
      </w:r>
      <w:r w:rsidRPr="00DB27E7">
        <w:rPr>
          <w:rFonts w:hint="cs"/>
          <w:sz w:val="18"/>
          <w:rtl/>
        </w:rPr>
        <w:t xml:space="preserve">داخلی </w:t>
      </w:r>
      <w:r w:rsidRPr="00DB27E7">
        <w:rPr>
          <w:rFonts w:hint="cs"/>
          <w:rtl/>
        </w:rPr>
        <w:t>و خارجی  مانند ایسنا ؛ مشرق نیوز؛ رکنا ؛ رادیو زمانه ؛هرانا ؛ ایرنا ؛ایلنا ؛رادیو صدای امریکا ؛رادیو بی بی سی ؛ ایران ؛ قطره ؛رادیو فردا ؛ سازمان حقوق بشر ایران ؛ باشگاه خبرنگاران جوان ؛ خبرگزاری مهر ؛ خبر گزاری خراسان ؛ روزنامه قانون ؛تسنیم ؛ کمپین فعالان بلوچ ؛ جمع آوری گردیده است .</w:t>
      </w:r>
    </w:p>
    <w:sectPr w:rsidR="00DB27E7" w:rsidSect="00E178F6">
      <w:pgSz w:w="12240" w:h="15840"/>
      <w:pgMar w:top="450" w:right="540" w:bottom="450"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E178F6"/>
    <w:rsid w:val="00024C5A"/>
    <w:rsid w:val="0007325A"/>
    <w:rsid w:val="000916AD"/>
    <w:rsid w:val="0014575C"/>
    <w:rsid w:val="001835F0"/>
    <w:rsid w:val="001D466A"/>
    <w:rsid w:val="001F5224"/>
    <w:rsid w:val="00265507"/>
    <w:rsid w:val="00320A05"/>
    <w:rsid w:val="00457849"/>
    <w:rsid w:val="00480E68"/>
    <w:rsid w:val="004D4EAE"/>
    <w:rsid w:val="00534ED3"/>
    <w:rsid w:val="00802E52"/>
    <w:rsid w:val="00864F73"/>
    <w:rsid w:val="0087093A"/>
    <w:rsid w:val="00972EEF"/>
    <w:rsid w:val="009D4D24"/>
    <w:rsid w:val="00A96A32"/>
    <w:rsid w:val="00DB27E7"/>
    <w:rsid w:val="00E178F6"/>
    <w:rsid w:val="00E363C1"/>
    <w:rsid w:val="00E539B8"/>
    <w:rsid w:val="00E97138"/>
    <w:rsid w:val="00F90A40"/>
    <w:rsid w:val="00F94B9E"/>
    <w:rsid w:val="00FA13FD"/>
    <w:rsid w:val="00FD2E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8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7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8F6"/>
    <w:rPr>
      <w:rFonts w:ascii="Tahoma" w:hAnsi="Tahoma" w:cs="Tahoma"/>
      <w:sz w:val="16"/>
      <w:szCs w:val="16"/>
    </w:rPr>
  </w:style>
  <w:style w:type="paragraph" w:styleId="NoSpacing">
    <w:name w:val="No Spacing"/>
    <w:uiPriority w:val="1"/>
    <w:qFormat/>
    <w:rsid w:val="00972EEF"/>
    <w:pPr>
      <w:spacing w:after="0" w:line="240" w:lineRule="auto"/>
    </w:pPr>
  </w:style>
  <w:style w:type="table" w:styleId="TableGrid">
    <w:name w:val="Table Grid"/>
    <w:basedOn w:val="TableNormal"/>
    <w:uiPriority w:val="59"/>
    <w:rsid w:val="00972E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ar-SA" sz="1800" b="1" i="0" baseline="0"/>
              <a:t>گزارش نقض حقوق کودک و نوجوان در اردیبهشت ۹۸</a:t>
            </a:r>
            <a:endParaRPr lang="en-US" sz="1800" b="1" i="0" baseline="0"/>
          </a:p>
        </c:rich>
      </c:tx>
      <c:layout/>
    </c:title>
    <c:view3D>
      <c:rAngAx val="1"/>
    </c:view3D>
    <c:floor>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floor>
    <c:plotArea>
      <c:layout/>
      <c:bar3DChart>
        <c:barDir val="col"/>
        <c:grouping val="clustered"/>
        <c:ser>
          <c:idx val="0"/>
          <c:order val="0"/>
          <c:spPr>
            <a:solidFill>
              <a:schemeClr val="accent1"/>
            </a:solidFill>
          </c:spPr>
          <c:dLbls>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txPr>
              <a:bodyPr/>
              <a:lstStyle/>
              <a:p>
                <a:pPr>
                  <a:defRPr b="1" i="0" baseline="0"/>
                </a:pPr>
                <a:endParaRPr lang="en-US"/>
              </a:p>
            </c:txPr>
            <c:showVal val="1"/>
          </c:dLbls>
          <c:cat>
            <c:strRef>
              <c:f>Sheet1!$C$3:$C$16</c:f>
              <c:strCache>
                <c:ptCount val="14"/>
                <c:pt idx="0">
                  <c:v>ازدواج کودکان</c:v>
                </c:pt>
                <c:pt idx="1">
                  <c:v>اعتیاد کودکان</c:v>
                </c:pt>
                <c:pt idx="2">
                  <c:v>اعدام کودکان</c:v>
                </c:pt>
                <c:pt idx="3">
                  <c:v>اموزش و پرورش</c:v>
                </c:pt>
                <c:pt idx="4">
                  <c:v>بیماری های کودکان</c:v>
                </c:pt>
                <c:pt idx="5">
                  <c:v>حمایت از کودکان</c:v>
                </c:pt>
                <c:pt idx="6">
                  <c:v>خشنونت علیه کودکان</c:v>
                </c:pt>
                <c:pt idx="7">
                  <c:v>خودکشی کودکان</c:v>
                </c:pt>
                <c:pt idx="8">
                  <c:v>کودک ازاری</c:v>
                </c:pt>
                <c:pt idx="9">
                  <c:v>کودکان بیهویت</c:v>
                </c:pt>
                <c:pt idx="10">
                  <c:v>کودکان در زلزله</c:v>
                </c:pt>
                <c:pt idx="11">
                  <c:v>کودکان فقر</c:v>
                </c:pt>
                <c:pt idx="12">
                  <c:v> کودکان کار</c:v>
                </c:pt>
                <c:pt idx="13">
                  <c:v>اسیب های اجتماعی</c:v>
                </c:pt>
              </c:strCache>
            </c:strRef>
          </c:cat>
          <c:val>
            <c:numRef>
              <c:f>Sheet1!$D$3:$D$16</c:f>
              <c:numCache>
                <c:formatCode>General</c:formatCode>
                <c:ptCount val="14"/>
                <c:pt idx="0">
                  <c:v>5</c:v>
                </c:pt>
                <c:pt idx="1">
                  <c:v>5</c:v>
                </c:pt>
                <c:pt idx="2">
                  <c:v>3</c:v>
                </c:pt>
                <c:pt idx="3">
                  <c:v>23</c:v>
                </c:pt>
                <c:pt idx="4">
                  <c:v>7</c:v>
                </c:pt>
                <c:pt idx="5">
                  <c:v>9</c:v>
                </c:pt>
                <c:pt idx="6">
                  <c:v>16</c:v>
                </c:pt>
                <c:pt idx="7">
                  <c:v>1</c:v>
                </c:pt>
                <c:pt idx="8">
                  <c:v>4</c:v>
                </c:pt>
                <c:pt idx="9">
                  <c:v>6</c:v>
                </c:pt>
                <c:pt idx="10">
                  <c:v>0</c:v>
                </c:pt>
                <c:pt idx="11">
                  <c:v>3</c:v>
                </c:pt>
                <c:pt idx="12">
                  <c:v>4</c:v>
                </c:pt>
                <c:pt idx="13">
                  <c:v>4</c:v>
                </c:pt>
              </c:numCache>
            </c:numRef>
          </c:val>
        </c:ser>
        <c:gapWidth val="129"/>
        <c:gapDepth val="205"/>
        <c:shape val="box"/>
        <c:axId val="92478464"/>
        <c:axId val="94874624"/>
        <c:axId val="0"/>
      </c:bar3DChart>
      <c:catAx>
        <c:axId val="92478464"/>
        <c:scaling>
          <c:orientation val="minMax"/>
        </c:scaling>
        <c:axPos val="b"/>
        <c:majorTickMark val="none"/>
        <c:tickLblPos val="nextTo"/>
        <c:txPr>
          <a:bodyPr/>
          <a:lstStyle/>
          <a:p>
            <a:pPr>
              <a:defRPr b="1" i="0" baseline="0"/>
            </a:pPr>
            <a:endParaRPr lang="en-US"/>
          </a:p>
        </c:txPr>
        <c:crossAx val="94874624"/>
        <c:crosses val="autoZero"/>
        <c:auto val="1"/>
        <c:lblAlgn val="ctr"/>
        <c:lblOffset val="100"/>
      </c:catAx>
      <c:valAx>
        <c:axId val="94874624"/>
        <c:scaling>
          <c:orientation val="minMax"/>
        </c:scaling>
        <c:axPos val="l"/>
        <c:majorGridlines>
          <c:spPr>
            <a:ln>
              <a:solidFill>
                <a:schemeClr val="tx1"/>
              </a:solidFill>
            </a:ln>
          </c:spPr>
        </c:majorGridlines>
        <c:numFmt formatCode="General" sourceLinked="1"/>
        <c:majorTickMark val="none"/>
        <c:tickLblPos val="nextTo"/>
        <c:txPr>
          <a:bodyPr/>
          <a:lstStyle/>
          <a:p>
            <a:pPr>
              <a:defRPr b="1" i="0" baseline="0"/>
            </a:pPr>
            <a:endParaRPr lang="en-US"/>
          </a:p>
        </c:txPr>
        <c:crossAx val="92478464"/>
        <c:crosses val="autoZero"/>
        <c:crossBetween val="between"/>
      </c:valAx>
    </c:plotArea>
    <c:plotVisOnly val="1"/>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2019-05-24T05:35:00Z</dcterms:created>
  <dcterms:modified xsi:type="dcterms:W3CDTF">2019-05-24T05:40:00Z</dcterms:modified>
</cp:coreProperties>
</file>